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C94C210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485A">
        <w:rPr>
          <w:rFonts w:ascii="Times New Roman" w:hAnsi="Times New Roman" w:cs="Times New Roman"/>
          <w:b/>
          <w:bCs/>
          <w:sz w:val="28"/>
          <w:szCs w:val="28"/>
        </w:rPr>
        <w:t xml:space="preserve">IB Applications and Interpretations Year 2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AC6">
        <w:rPr>
          <w:rFonts w:ascii="Times New Roman" w:hAnsi="Times New Roman" w:cs="Times New Roman"/>
          <w:b/>
          <w:bCs/>
          <w:sz w:val="28"/>
          <w:szCs w:val="28"/>
        </w:rPr>
        <w:t>3/</w:t>
      </w:r>
      <w:r w:rsidR="00187F74">
        <w:rPr>
          <w:rFonts w:ascii="Times New Roman" w:hAnsi="Times New Roman" w:cs="Times New Roman"/>
          <w:b/>
          <w:bCs/>
          <w:sz w:val="28"/>
          <w:szCs w:val="28"/>
        </w:rPr>
        <w:t>24 to 3/28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506"/>
        <w:gridCol w:w="1883"/>
        <w:gridCol w:w="1711"/>
        <w:gridCol w:w="2185"/>
        <w:gridCol w:w="2285"/>
        <w:gridCol w:w="3829"/>
        <w:gridCol w:w="2267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5A8A9FFB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F0DEE">
              <w:rPr>
                <w:b/>
                <w:color w:val="000000" w:themeColor="text1"/>
              </w:rPr>
              <w:t>SL. 5.</w:t>
            </w:r>
            <w:r w:rsidR="00187F74">
              <w:rPr>
                <w:b/>
                <w:color w:val="000000" w:themeColor="text1"/>
              </w:rPr>
              <w:t xml:space="preserve">5 </w:t>
            </w:r>
            <w:r w:rsidR="00187F74">
              <w:t>Definite integrals using technology. Area of a region enclosed by a curve y = f(x) and the x-axis, where f(x) &gt; 0.</w:t>
            </w:r>
          </w:p>
          <w:p w14:paraId="13285826" w14:textId="77777777" w:rsidR="00187F74" w:rsidRDefault="00187F74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0214EADA" w14:textId="77C1340E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5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F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F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5722A" w:rsidRPr="002F7AA4" w14:paraId="61082970" w14:textId="395B378E" w:rsidTr="009D5F07">
        <w:trPr>
          <w:trHeight w:val="846"/>
        </w:trPr>
        <w:tc>
          <w:tcPr>
            <w:tcW w:w="223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74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51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85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668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879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5722A" w:rsidRPr="002F7AA4" w14:paraId="0E64154E" w14:textId="641156C7" w:rsidTr="0036141B">
        <w:trPr>
          <w:trHeight w:val="58"/>
        </w:trPr>
        <w:tc>
          <w:tcPr>
            <w:tcW w:w="223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4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879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5722A" w:rsidRPr="002F7AA4" w14:paraId="2C055FC8" w14:textId="52AB58AE" w:rsidTr="009D5F07">
        <w:trPr>
          <w:cantSplit/>
          <w:trHeight w:val="1223"/>
        </w:trPr>
        <w:tc>
          <w:tcPr>
            <w:tcW w:w="223" w:type="pct"/>
            <w:textDirection w:val="btLr"/>
            <w:vAlign w:val="center"/>
          </w:tcPr>
          <w:p w14:paraId="0BDF9A6E" w14:textId="77777777" w:rsidR="00E535E3" w:rsidRPr="002F7AA4" w:rsidRDefault="00E535E3" w:rsidP="00E53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20" w:type="pct"/>
          </w:tcPr>
          <w:p w14:paraId="4B94D5A5" w14:textId="051A838C" w:rsidR="00E535E3" w:rsidRPr="00751125" w:rsidRDefault="00197C37" w:rsidP="00E53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how area under each section of a </w:t>
            </w:r>
            <w:r w:rsidR="00E46CB7">
              <w:rPr>
                <w:rFonts w:cstheme="minorHAnsi"/>
              </w:rPr>
              <w:t xml:space="preserve">position </w:t>
            </w:r>
            <w:r>
              <w:rPr>
                <w:rFonts w:cstheme="minorHAnsi"/>
              </w:rPr>
              <w:t xml:space="preserve">vs. time graph is the distance traveled. </w:t>
            </w:r>
          </w:p>
        </w:tc>
        <w:tc>
          <w:tcPr>
            <w:tcW w:w="774" w:type="pct"/>
          </w:tcPr>
          <w:p w14:paraId="688EE266" w14:textId="4334696A" w:rsidR="00E535E3" w:rsidRPr="00A06971" w:rsidRDefault="00197C37" w:rsidP="00E53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show how area under each section of a </w:t>
            </w:r>
            <w:r w:rsidR="00E46CB7">
              <w:rPr>
                <w:rFonts w:cstheme="minorHAnsi"/>
              </w:rPr>
              <w:t xml:space="preserve">position </w:t>
            </w:r>
            <w:r>
              <w:rPr>
                <w:rFonts w:cstheme="minorHAnsi"/>
              </w:rPr>
              <w:t xml:space="preserve">vs. time graph is distance traveled. </w:t>
            </w:r>
          </w:p>
        </w:tc>
        <w:tc>
          <w:tcPr>
            <w:tcW w:w="851" w:type="pct"/>
          </w:tcPr>
          <w:p w14:paraId="456954CD" w14:textId="4D174ECE" w:rsidR="00197C37" w:rsidRDefault="00197C37" w:rsidP="00197C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87F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 over how to record video to track data using Vernier. Students will record and upload video to </w:t>
            </w:r>
            <w:proofErr w:type="spellStart"/>
            <w:r w:rsidR="00187F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Verneir</w:t>
            </w:r>
            <w:proofErr w:type="spellEnd"/>
            <w:r w:rsidR="00187F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DEEC669" w14:textId="448028D2" w:rsidR="00187F74" w:rsidRPr="0061325B" w:rsidRDefault="00187F74" w:rsidP="00197C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</w:rPr>
                <w:t>Vernier Video Analysis®</w:t>
              </w:r>
            </w:hyperlink>
          </w:p>
        </w:tc>
        <w:tc>
          <w:tcPr>
            <w:tcW w:w="885" w:type="pct"/>
          </w:tcPr>
          <w:p w14:paraId="7D42FC9A" w14:textId="6A0D3F63" w:rsidR="00305131" w:rsidRPr="00305131" w:rsidRDefault="00305131" w:rsidP="0030513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D3B45"/>
                <w:kern w:val="36"/>
                <w:sz w:val="28"/>
                <w:szCs w:val="43"/>
              </w:rPr>
            </w:pPr>
            <w:r w:rsidRPr="00305131">
              <w:rPr>
                <w:rFonts w:ascii="Times New Roman" w:eastAsia="Times New Roman" w:hAnsi="Times New Roman" w:cs="Times New Roman"/>
                <w:color w:val="2D3B45"/>
                <w:kern w:val="36"/>
                <w:sz w:val="28"/>
                <w:szCs w:val="43"/>
              </w:rPr>
              <w:t xml:space="preserve">Vernier Position v. Time Graph Activity (Canvas) </w:t>
            </w:r>
          </w:p>
          <w:p w14:paraId="3656B9AB" w14:textId="22EDF03A" w:rsidR="00D8027F" w:rsidRPr="00305131" w:rsidRDefault="00D8027F" w:rsidP="00187F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8" w:type="pct"/>
          </w:tcPr>
          <w:p w14:paraId="14141D08" w14:textId="66965097" w:rsidR="00B164D0" w:rsidRPr="00187F74" w:rsidRDefault="00B164D0" w:rsidP="00187F74">
            <w:pPr>
              <w:rPr>
                <w:rFonts w:eastAsiaTheme="minorEastAsia" w:cstheme="minorHAnsi"/>
              </w:rPr>
            </w:pPr>
          </w:p>
          <w:p w14:paraId="45FB0818" w14:textId="52B3A4C4" w:rsidR="00B164D0" w:rsidRPr="006372BD" w:rsidRDefault="00305131" w:rsidP="00E53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Position v. Time Graph Activity and Turn in </w:t>
            </w:r>
            <w:proofErr w:type="spellStart"/>
            <w:r>
              <w:rPr>
                <w:rFonts w:cstheme="minorHAnsi"/>
              </w:rPr>
              <w:t>Powerpoint</w:t>
            </w:r>
            <w:proofErr w:type="spellEnd"/>
            <w:r>
              <w:rPr>
                <w:rFonts w:cstheme="minorHAnsi"/>
              </w:rPr>
              <w:t xml:space="preserve"> by midnight tomorrow. </w:t>
            </w:r>
          </w:p>
        </w:tc>
        <w:tc>
          <w:tcPr>
            <w:tcW w:w="879" w:type="pct"/>
          </w:tcPr>
          <w:p w14:paraId="1275E2E1" w14:textId="62842DF3" w:rsidR="00E535E3" w:rsidRPr="00A06971" w:rsidRDefault="00305131" w:rsidP="00E53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Vernier Position v. Time Graph Activity </w:t>
            </w:r>
          </w:p>
        </w:tc>
      </w:tr>
      <w:tr w:rsidR="0085722A" w:rsidRPr="002F7AA4" w14:paraId="0B01928F" w14:textId="537EC6F9" w:rsidTr="009D5F07">
        <w:trPr>
          <w:cantSplit/>
          <w:trHeight w:val="1241"/>
        </w:trPr>
        <w:tc>
          <w:tcPr>
            <w:tcW w:w="223" w:type="pct"/>
            <w:textDirection w:val="btLr"/>
            <w:vAlign w:val="center"/>
          </w:tcPr>
          <w:p w14:paraId="7DFE89F6" w14:textId="77777777" w:rsidR="00E535E3" w:rsidRPr="002F7AA4" w:rsidRDefault="00E535E3" w:rsidP="00E53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720" w:type="pct"/>
          </w:tcPr>
          <w:p w14:paraId="475D515D" w14:textId="7FB2417C" w:rsidR="00305131" w:rsidRPr="00305131" w:rsidRDefault="00305131" w:rsidP="0030513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Student will learn about </w:t>
            </w:r>
            <w:r w:rsidRPr="0030513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'Is there a pattern to the area under straight lines?'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and derive the area of a function formula. </w:t>
            </w:r>
          </w:p>
          <w:p w14:paraId="620733DA" w14:textId="77777777" w:rsidR="00305131" w:rsidRPr="00305131" w:rsidRDefault="00305131" w:rsidP="0030513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21212"/>
                <w:sz w:val="16"/>
                <w:szCs w:val="16"/>
              </w:rPr>
            </w:pPr>
            <w:r w:rsidRPr="00305131">
              <w:rPr>
                <w:rFonts w:ascii="Times New Roman" w:eastAsia="Times New Roman" w:hAnsi="Times New Roman" w:cs="Times New Roman"/>
                <w:color w:val="121212"/>
                <w:sz w:val="16"/>
                <w:szCs w:val="16"/>
              </w:rPr>
              <w:t>Students will investigate the areas under straight lines using the below applet - is there a pattern?</w:t>
            </w:r>
          </w:p>
          <w:p w14:paraId="495D0E95" w14:textId="40E152AB" w:rsidR="00305131" w:rsidRPr="00305131" w:rsidRDefault="00305131" w:rsidP="0030513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21212"/>
                <w:sz w:val="16"/>
                <w:szCs w:val="16"/>
              </w:rPr>
            </w:pPr>
            <w:r w:rsidRPr="00305131">
              <w:rPr>
                <w:rFonts w:ascii="Times New Roman" w:eastAsia="Times New Roman" w:hAnsi="Times New Roman" w:cs="Times New Roman"/>
                <w:color w:val="121212"/>
                <w:sz w:val="16"/>
                <w:szCs w:val="16"/>
              </w:rPr>
              <w:t>This helps develop the key skill of investigation, the </w:t>
            </w:r>
            <w:r w:rsidRPr="00305131">
              <w:rPr>
                <w:rFonts w:ascii="Times New Roman" w:eastAsia="Times New Roman" w:hAnsi="Times New Roman" w:cs="Times New Roman"/>
                <w:i/>
                <w:iCs/>
                <w:color w:val="121212"/>
                <w:sz w:val="16"/>
                <w:szCs w:val="16"/>
              </w:rPr>
              <w:t>scientific method</w:t>
            </w:r>
            <w:r w:rsidRPr="00305131">
              <w:rPr>
                <w:rFonts w:ascii="Times New Roman" w:eastAsia="Times New Roman" w:hAnsi="Times New Roman" w:cs="Times New Roman"/>
                <w:color w:val="121212"/>
                <w:sz w:val="16"/>
                <w:szCs w:val="16"/>
              </w:rPr>
              <w:t>, </w:t>
            </w:r>
            <w:r w:rsidRPr="00305131">
              <w:rPr>
                <w:rFonts w:ascii="Times New Roman" w:eastAsia="Times New Roman" w:hAnsi="Times New Roman" w:cs="Times New Roman"/>
                <w:b/>
                <w:bCs/>
                <w:color w:val="121212"/>
                <w:sz w:val="16"/>
                <w:szCs w:val="16"/>
              </w:rPr>
              <w:t>Experiment, record results, organize, look for pattern, hypothesize(conjecture), test the conjecture </w:t>
            </w:r>
            <w:r w:rsidRPr="00305131">
              <w:rPr>
                <w:rFonts w:ascii="Times New Roman" w:eastAsia="Times New Roman" w:hAnsi="Times New Roman" w:cs="Times New Roman"/>
                <w:color w:val="121212"/>
                <w:sz w:val="16"/>
                <w:szCs w:val="16"/>
              </w:rPr>
              <w:t>. . . and for mathematicians, </w:t>
            </w:r>
            <w:proofErr w:type="gramStart"/>
            <w:r w:rsidRPr="00305131">
              <w:rPr>
                <w:rFonts w:ascii="Times New Roman" w:eastAsia="Times New Roman" w:hAnsi="Times New Roman" w:cs="Times New Roman"/>
                <w:b/>
                <w:bCs/>
                <w:color w:val="121212"/>
                <w:sz w:val="16"/>
                <w:szCs w:val="16"/>
              </w:rPr>
              <w:t>prove !</w:t>
            </w:r>
            <w:proofErr w:type="gramEnd"/>
            <w:r w:rsidRPr="00305131">
              <w:rPr>
                <w:rFonts w:ascii="Times New Roman" w:eastAsia="Times New Roman" w:hAnsi="Times New Roman" w:cs="Times New Roman"/>
                <w:b/>
                <w:bCs/>
                <w:color w:val="121212"/>
                <w:sz w:val="16"/>
                <w:szCs w:val="16"/>
              </w:rPr>
              <w:t> </w:t>
            </w:r>
          </w:p>
          <w:p w14:paraId="53128261" w14:textId="42C2D474" w:rsidR="00E535E3" w:rsidRPr="00305131" w:rsidRDefault="00E535E3" w:rsidP="00305131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</w:tcPr>
          <w:p w14:paraId="718E4E08" w14:textId="77777777" w:rsidR="00E535E3" w:rsidRDefault="00305131" w:rsidP="00E535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Students will be able to see a pattern to area under straight lines and derive the area of a function formula. </w:t>
            </w:r>
          </w:p>
          <w:p w14:paraId="7B54819D" w14:textId="77777777" w:rsidR="00305131" w:rsidRPr="00305131" w:rsidRDefault="00305131" w:rsidP="0030513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  <w:r w:rsidRPr="00305131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Aims</w:t>
            </w:r>
          </w:p>
          <w:p w14:paraId="73FD55D9" w14:textId="77777777" w:rsidR="00305131" w:rsidRPr="00305131" w:rsidRDefault="00305131" w:rsidP="0030513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  <w:r w:rsidRPr="00305131"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  <w:t>The below applets allow students to get a conceptual, visual view, via the plotting of the areas against each y-value, of what, if any, pattern exists for the areas under straight lines as the upper limit changes (lower limit = 0 (which results in "</w:t>
            </w:r>
            <w:r w:rsidRPr="00305131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</w:rPr>
              <w:t>negative</w:t>
            </w:r>
            <w:r w:rsidRPr="00305131"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  <w:t>" areas for values of x&lt;0 -&gt;</w:t>
            </w:r>
          </w:p>
          <w:p w14:paraId="5556F14F" w14:textId="7A74E551" w:rsidR="00305131" w:rsidRPr="00A06971" w:rsidRDefault="00305131" w:rsidP="00E535E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pct"/>
          </w:tcPr>
          <w:p w14:paraId="62486C05" w14:textId="5EECCA44" w:rsidR="00FB6E4B" w:rsidRPr="00923EF4" w:rsidRDefault="00305131" w:rsidP="00BF0D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Students will login to </w:t>
            </w:r>
            <w:proofErr w:type="spellStart"/>
            <w:r>
              <w:rPr>
                <w:rFonts w:cstheme="minorHAnsi"/>
                <w:bCs/>
              </w:rPr>
              <w:t>Inthinking</w:t>
            </w:r>
            <w:proofErr w:type="spellEnd"/>
            <w:r>
              <w:rPr>
                <w:rFonts w:cstheme="minorHAnsi"/>
                <w:bCs/>
              </w:rPr>
              <w:t xml:space="preserve"> and pull up area function applet. </w:t>
            </w:r>
          </w:p>
        </w:tc>
        <w:tc>
          <w:tcPr>
            <w:tcW w:w="885" w:type="pct"/>
          </w:tcPr>
          <w:p w14:paraId="71442CC3" w14:textId="3DA6BE4B" w:rsidR="00B164D0" w:rsidRDefault="00B164D0" w:rsidP="00BF0D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Investigation- Area Function </w:t>
            </w:r>
            <w:r w:rsidR="00313DFB">
              <w:rPr>
                <w:rFonts w:cstheme="minorHAnsi"/>
              </w:rPr>
              <w:t xml:space="preserve">Activity </w:t>
            </w:r>
            <w:r>
              <w:rPr>
                <w:rFonts w:cstheme="minorHAnsi"/>
              </w:rPr>
              <w:t>pg</w:t>
            </w:r>
            <w:r w:rsidR="00313DFB">
              <w:rPr>
                <w:rFonts w:cstheme="minorHAnsi"/>
              </w:rPr>
              <w:t>s</w:t>
            </w:r>
            <w:r>
              <w:rPr>
                <w:rFonts w:cstheme="minorHAnsi"/>
              </w:rPr>
              <w:t>. 7</w:t>
            </w:r>
            <w:r w:rsidR="00313DFB">
              <w:rPr>
                <w:rFonts w:cstheme="minorHAnsi"/>
              </w:rPr>
              <w:t>-9</w:t>
            </w:r>
          </w:p>
          <w:p w14:paraId="5486EF20" w14:textId="29B73A05" w:rsidR="00313DFB" w:rsidRDefault="00313DFB" w:rsidP="00BF0DEE">
            <w:pPr>
              <w:rPr>
                <w:rFonts w:cstheme="minorHAnsi"/>
              </w:rPr>
            </w:pPr>
            <w:r>
              <w:rPr>
                <w:rFonts w:cstheme="minorHAnsi"/>
              </w:rPr>
              <w:t>Using graphing calculator and applet to discover the area function</w:t>
            </w:r>
          </w:p>
          <w:p w14:paraId="619C5694" w14:textId="45B26034" w:rsidR="00313DFB" w:rsidRDefault="00313DFB" w:rsidP="00BF0DEE">
            <w:pPr>
              <w:rPr>
                <w:rFonts w:cstheme="minorHAnsi"/>
              </w:rPr>
            </w:pPr>
          </w:p>
          <w:p w14:paraId="67218F11" w14:textId="77777777" w:rsidR="00313DFB" w:rsidRDefault="00313DFB" w:rsidP="00BF0DEE">
            <w:pPr>
              <w:rPr>
                <w:rFonts w:cstheme="minorHAnsi"/>
              </w:rPr>
            </w:pPr>
          </w:p>
          <w:p w14:paraId="4101652C" w14:textId="7D7AF634" w:rsidR="00B164D0" w:rsidRPr="00A06971" w:rsidRDefault="00B164D0" w:rsidP="00BF0DEE">
            <w:pPr>
              <w:rPr>
                <w:rFonts w:cstheme="minorHAnsi"/>
              </w:rPr>
            </w:pPr>
          </w:p>
        </w:tc>
        <w:tc>
          <w:tcPr>
            <w:tcW w:w="668" w:type="pct"/>
          </w:tcPr>
          <w:p w14:paraId="4B99056E" w14:textId="6D131B64" w:rsidR="00E535E3" w:rsidRPr="00BF0DEE" w:rsidRDefault="00305131" w:rsidP="00E53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Finish Investigation- Area Function Activity for Homework</w:t>
            </w:r>
          </w:p>
        </w:tc>
        <w:tc>
          <w:tcPr>
            <w:tcW w:w="879" w:type="pct"/>
          </w:tcPr>
          <w:p w14:paraId="41A4239C" w14:textId="039EF804" w:rsidR="00E535E3" w:rsidRPr="009E7AA0" w:rsidRDefault="00123199" w:rsidP="00E53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Investigating Area Function Activity </w:t>
            </w:r>
          </w:p>
        </w:tc>
      </w:tr>
      <w:tr w:rsidR="0085722A" w:rsidRPr="002F7AA4" w14:paraId="1FB9E9A5" w14:textId="5A0463B3" w:rsidTr="009D5F07">
        <w:trPr>
          <w:cantSplit/>
          <w:trHeight w:val="1511"/>
        </w:trPr>
        <w:tc>
          <w:tcPr>
            <w:tcW w:w="223" w:type="pct"/>
            <w:textDirection w:val="btLr"/>
            <w:vAlign w:val="center"/>
          </w:tcPr>
          <w:p w14:paraId="531FDC91" w14:textId="77777777" w:rsidR="00E535E3" w:rsidRPr="002F7AA4" w:rsidRDefault="00E535E3" w:rsidP="00E53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20" w:type="pct"/>
          </w:tcPr>
          <w:p w14:paraId="4DDBEF00" w14:textId="367826E8" w:rsidR="00E535E3" w:rsidRPr="006372BD" w:rsidRDefault="00313DFB" w:rsidP="00E535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learning about definite integrals (‘area’ function). </w:t>
            </w:r>
          </w:p>
        </w:tc>
        <w:tc>
          <w:tcPr>
            <w:tcW w:w="774" w:type="pct"/>
          </w:tcPr>
          <w:p w14:paraId="420E7C26" w14:textId="77777777" w:rsidR="00E535E3" w:rsidRDefault="00313DFB" w:rsidP="00E535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apply definite integrals</w:t>
            </w:r>
          </w:p>
          <w:p w14:paraId="5726765F" w14:textId="55A11480" w:rsidR="00313DFB" w:rsidRPr="00A06971" w:rsidRDefault="00313DFB" w:rsidP="00E535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(‘area’ function). </w:t>
            </w:r>
          </w:p>
        </w:tc>
        <w:tc>
          <w:tcPr>
            <w:tcW w:w="851" w:type="pct"/>
          </w:tcPr>
          <w:p w14:paraId="4E1C90DA" w14:textId="77777777" w:rsidR="00FB6E4B" w:rsidRDefault="00313DFB" w:rsidP="00BF0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Mathematical notation: Definite Integrals (area function) mini lesson</w:t>
            </w:r>
          </w:p>
          <w:p w14:paraId="19E40B7C" w14:textId="77777777" w:rsidR="00313DFB" w:rsidRDefault="00313DFB" w:rsidP="00BF0DEE">
            <w:pPr>
              <w:jc w:val="center"/>
              <w:rPr>
                <w:rFonts w:cstheme="minorHAnsi"/>
              </w:rPr>
            </w:pPr>
          </w:p>
          <w:p w14:paraId="3461D779" w14:textId="689D6B36" w:rsidR="00313DFB" w:rsidRPr="00A06971" w:rsidRDefault="00313DFB" w:rsidP="00BF0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Match up each of the six integrals on </w:t>
            </w:r>
            <w:proofErr w:type="spellStart"/>
            <w:r w:rsidR="003E03EE">
              <w:rPr>
                <w:rFonts w:cstheme="minorHAnsi"/>
              </w:rPr>
              <w:t>pg</w:t>
            </w:r>
            <w:proofErr w:type="spellEnd"/>
            <w:r w:rsidR="003E03EE">
              <w:rPr>
                <w:rFonts w:cstheme="minorHAnsi"/>
              </w:rPr>
              <w:t xml:space="preserve"> 10 of notes with the correct graph (use ti-84) </w:t>
            </w:r>
          </w:p>
        </w:tc>
        <w:tc>
          <w:tcPr>
            <w:tcW w:w="885" w:type="pct"/>
          </w:tcPr>
          <w:p w14:paraId="51C94B42" w14:textId="77777777" w:rsidR="00713F97" w:rsidRDefault="003E03EE" w:rsidP="00BF0D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Definite Integrals- Two Player Game</w:t>
            </w:r>
          </w:p>
          <w:p w14:paraId="1BAE06AD" w14:textId="77777777" w:rsidR="003E03EE" w:rsidRDefault="003E03EE" w:rsidP="00BF0DEE">
            <w:pPr>
              <w:jc w:val="center"/>
              <w:rPr>
                <w:rFonts w:cstheme="minorHAnsi"/>
                <w:bCs/>
              </w:rPr>
            </w:pPr>
          </w:p>
          <w:p w14:paraId="15D09CC7" w14:textId="77777777" w:rsidR="003E03EE" w:rsidRDefault="003E03EE" w:rsidP="00BF0D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 your pair, take turns to set one of the 20 functions for your partner to sketch</w:t>
            </w:r>
          </w:p>
          <w:p w14:paraId="55255823" w14:textId="77777777" w:rsidR="003E03EE" w:rsidRDefault="003E03EE" w:rsidP="00BF0DEE">
            <w:pPr>
              <w:jc w:val="center"/>
              <w:rPr>
                <w:rFonts w:cstheme="minorHAnsi"/>
                <w:bCs/>
              </w:rPr>
            </w:pPr>
          </w:p>
          <w:p w14:paraId="55160E1B" w14:textId="77777777" w:rsidR="003E03EE" w:rsidRDefault="003E03EE" w:rsidP="00BF0D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Your partner </w:t>
            </w:r>
            <w:proofErr w:type="gramStart"/>
            <w:r>
              <w:rPr>
                <w:rFonts w:cstheme="minorHAnsi"/>
                <w:bCs/>
              </w:rPr>
              <w:t>have</w:t>
            </w:r>
            <w:proofErr w:type="gramEnd"/>
            <w:r>
              <w:rPr>
                <w:rFonts w:cstheme="minorHAnsi"/>
                <w:bCs/>
              </w:rPr>
              <w:t xml:space="preserve"> to sketch a quick x &amp; y axis and show any key points (maximums, minimums, x-intercepts, y-intercepts, and </w:t>
            </w:r>
            <w:proofErr w:type="spellStart"/>
            <w:r>
              <w:rPr>
                <w:rFonts w:cstheme="minorHAnsi"/>
                <w:bCs/>
              </w:rPr>
              <w:t>the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are</w:t>
            </w:r>
            <w:proofErr w:type="spellEnd"/>
            <w:r>
              <w:rPr>
                <w:rFonts w:cstheme="minorHAnsi"/>
                <w:bCs/>
              </w:rPr>
              <w:t xml:space="preserve">, with the upper and lower limits clearly shown. </w:t>
            </w:r>
            <w:proofErr w:type="spellStart"/>
            <w:r>
              <w:rPr>
                <w:rFonts w:cstheme="minorHAnsi"/>
                <w:bCs/>
              </w:rPr>
              <w:t>Cubics</w:t>
            </w:r>
            <w:proofErr w:type="spellEnd"/>
            <w:r>
              <w:rPr>
                <w:rFonts w:cstheme="minorHAnsi"/>
                <w:bCs/>
              </w:rPr>
              <w:t xml:space="preserve"> are the hardest questions. </w:t>
            </w:r>
          </w:p>
          <w:p w14:paraId="7C6F0FA5" w14:textId="77777777" w:rsidR="003E03EE" w:rsidRDefault="003E03EE" w:rsidP="00BF0DEE">
            <w:pPr>
              <w:jc w:val="center"/>
              <w:rPr>
                <w:rFonts w:cstheme="minorHAnsi"/>
                <w:bCs/>
              </w:rPr>
            </w:pPr>
          </w:p>
          <w:p w14:paraId="3CF2D8B6" w14:textId="43A5E29B" w:rsidR="003E03EE" w:rsidRPr="00332468" w:rsidRDefault="003E03EE" w:rsidP="00BF0D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You each have five turns. You can check your partner’s answer together, after each go, using a calculator. </w:t>
            </w:r>
          </w:p>
        </w:tc>
        <w:tc>
          <w:tcPr>
            <w:tcW w:w="668" w:type="pct"/>
          </w:tcPr>
          <w:p w14:paraId="6D5D9BF2" w14:textId="77777777" w:rsidR="0036141B" w:rsidRDefault="00123199" w:rsidP="00E53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Turn in your work for the Definite Integral Game</w:t>
            </w:r>
          </w:p>
          <w:p w14:paraId="673CA2D7" w14:textId="77777777" w:rsidR="00123199" w:rsidRDefault="00123199" w:rsidP="00E535E3">
            <w:pPr>
              <w:jc w:val="center"/>
              <w:rPr>
                <w:rFonts w:cstheme="minorHAnsi"/>
              </w:rPr>
            </w:pPr>
          </w:p>
          <w:p w14:paraId="0FB78278" w14:textId="3B347A17" w:rsidR="00123199" w:rsidRPr="00A06971" w:rsidRDefault="00123199" w:rsidP="00E535E3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14:paraId="7571C176" w14:textId="5802F5A2" w:rsidR="00E535E3" w:rsidRPr="00A06971" w:rsidRDefault="00123199" w:rsidP="00E535E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Communicating math via Definite Integrals Game</w:t>
            </w:r>
          </w:p>
        </w:tc>
      </w:tr>
      <w:tr w:rsidR="0085722A" w:rsidRPr="002F7AA4" w14:paraId="6CAC590F" w14:textId="78277EE5" w:rsidTr="009D5F07">
        <w:trPr>
          <w:cantSplit/>
          <w:trHeight w:val="1547"/>
        </w:trPr>
        <w:tc>
          <w:tcPr>
            <w:tcW w:w="223" w:type="pct"/>
            <w:textDirection w:val="btLr"/>
            <w:vAlign w:val="center"/>
          </w:tcPr>
          <w:p w14:paraId="6E5DDD2B" w14:textId="77777777" w:rsidR="0036141B" w:rsidRPr="002F7AA4" w:rsidRDefault="0036141B" w:rsidP="003614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20" w:type="pct"/>
          </w:tcPr>
          <w:p w14:paraId="31AD0EFD" w14:textId="3046B40D" w:rsidR="0036141B" w:rsidRDefault="0085722A" w:rsidP="003614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learning about indefinite integrals =anti derivative. </w:t>
            </w:r>
          </w:p>
          <w:p w14:paraId="0562CB0E" w14:textId="162EAA5D" w:rsidR="0085722A" w:rsidRPr="002E5848" w:rsidRDefault="0085722A" w:rsidP="0085722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74" w:type="pct"/>
          </w:tcPr>
          <w:p w14:paraId="4E83C2ED" w14:textId="0005F59F" w:rsidR="0085722A" w:rsidRDefault="0085722A" w:rsidP="0085722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apply indefinite integrals = anti derivative.</w:t>
            </w:r>
          </w:p>
          <w:p w14:paraId="79CAD6D9" w14:textId="36E0EE1F" w:rsidR="0085722A" w:rsidRPr="00597692" w:rsidRDefault="0085722A" w:rsidP="0085722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pct"/>
          </w:tcPr>
          <w:p w14:paraId="6ACD0236" w14:textId="77777777" w:rsidR="0085722A" w:rsidRDefault="0085722A" w:rsidP="0036141B">
            <w:pPr>
              <w:jc w:val="center"/>
            </w:pPr>
            <w:r>
              <w:t xml:space="preserve">Worked Example - </w:t>
            </w:r>
            <w:r>
              <w:t>W</w:t>
            </w:r>
            <w:r>
              <w:t xml:space="preserve">e will look at each part in turn on the following slides </w:t>
            </w:r>
            <w:proofErr w:type="gramStart"/>
            <w:r>
              <w:t>From</w:t>
            </w:r>
            <w:proofErr w:type="gramEnd"/>
            <w:r>
              <w:t xml:space="preserve"> their chemical compositions the growth rates, shown on the right, were found for these </w:t>
            </w:r>
            <w:proofErr w:type="spellStart"/>
            <w:r>
              <w:t>stalaGmites</w:t>
            </w:r>
            <w:proofErr w:type="spellEnd"/>
            <w:r>
              <w:t xml:space="preserve"> (from the Ground) and </w:t>
            </w:r>
            <w:proofErr w:type="spellStart"/>
            <w:r>
              <w:t>stalaCtites</w:t>
            </w:r>
            <w:proofErr w:type="spellEnd"/>
            <w:r>
              <w:t xml:space="preserve"> (from the Ceiling): </w:t>
            </w:r>
          </w:p>
          <w:p w14:paraId="46AD573D" w14:textId="77777777" w:rsidR="0085722A" w:rsidRDefault="0085722A" w:rsidP="0036141B">
            <w:pPr>
              <w:jc w:val="center"/>
            </w:pPr>
          </w:p>
          <w:p w14:paraId="18B5E848" w14:textId="77777777" w:rsidR="0085722A" w:rsidRDefault="0085722A" w:rsidP="0036141B">
            <w:pPr>
              <w:jc w:val="center"/>
            </w:pPr>
            <w:r>
              <w:t>a. Using t = time in years and h = height, write down an integral that represents</w:t>
            </w:r>
          </w:p>
          <w:p w14:paraId="3E9DEF41" w14:textId="77777777" w:rsidR="0085722A" w:rsidRDefault="0085722A" w:rsidP="0036141B">
            <w:pPr>
              <w:jc w:val="center"/>
            </w:pPr>
          </w:p>
          <w:p w14:paraId="602E0173" w14:textId="5FFA8BCA" w:rsidR="0085722A" w:rsidRDefault="0085722A" w:rsidP="0085722A">
            <w:pPr>
              <w:pStyle w:val="ListParagraph"/>
              <w:numPr>
                <w:ilvl w:val="0"/>
                <w:numId w:val="11"/>
              </w:numPr>
              <w:jc w:val="center"/>
            </w:pPr>
            <w:r>
              <w:t xml:space="preserve">the height of the </w:t>
            </w:r>
            <w:proofErr w:type="spellStart"/>
            <w:r>
              <w:t>stalaGmite</w:t>
            </w:r>
            <w:proofErr w:type="spellEnd"/>
            <w:r>
              <w:t xml:space="preserve"> on the left in the picture</w:t>
            </w:r>
          </w:p>
          <w:p w14:paraId="34CE0A41" w14:textId="4BF063B5" w:rsidR="00123199" w:rsidRPr="0082426B" w:rsidRDefault="0085722A" w:rsidP="0085722A">
            <w:pPr>
              <w:pStyle w:val="ListParagraph"/>
              <w:numPr>
                <w:ilvl w:val="0"/>
                <w:numId w:val="11"/>
              </w:numPr>
              <w:jc w:val="center"/>
            </w:pPr>
            <w:r>
              <w:t xml:space="preserve"> (ii) the height of the </w:t>
            </w:r>
            <w:proofErr w:type="spellStart"/>
            <w:r>
              <w:t>stalaCtite</w:t>
            </w:r>
            <w:proofErr w:type="spellEnd"/>
            <w:r>
              <w:t xml:space="preserve"> on the left in the picture</w:t>
            </w:r>
          </w:p>
        </w:tc>
        <w:tc>
          <w:tcPr>
            <w:tcW w:w="885" w:type="pct"/>
          </w:tcPr>
          <w:p w14:paraId="71F78F56" w14:textId="77777777" w:rsidR="0085722A" w:rsidRDefault="0085722A" w:rsidP="0085722A">
            <w:pPr>
              <w:jc w:val="center"/>
            </w:pPr>
            <w:r>
              <w:t xml:space="preserve">b. </w:t>
            </w:r>
            <w:r>
              <w:t xml:space="preserve">Integrate the expressions from part (a) to find the total height function of the </w:t>
            </w:r>
            <w:proofErr w:type="spellStart"/>
            <w:r>
              <w:t>stalaGmite</w:t>
            </w:r>
            <w:proofErr w:type="spellEnd"/>
            <w:r>
              <w:t xml:space="preserve"> and </w:t>
            </w:r>
            <w:proofErr w:type="spellStart"/>
            <w:r>
              <w:t>stalaCtite.Use</w:t>
            </w:r>
            <w:proofErr w:type="spellEnd"/>
            <w:r>
              <w:t xml:space="preserve"> their current heights, time(t) = 0, to work out the constant terms for each </w:t>
            </w:r>
          </w:p>
          <w:p w14:paraId="3C5A82E3" w14:textId="77777777" w:rsidR="0085722A" w:rsidRDefault="0085722A" w:rsidP="0085722A">
            <w:pPr>
              <w:jc w:val="center"/>
            </w:pPr>
          </w:p>
          <w:p w14:paraId="240BCF47" w14:textId="77777777" w:rsidR="0085722A" w:rsidRDefault="0085722A" w:rsidP="0085722A">
            <w:pPr>
              <w:jc w:val="center"/>
            </w:pPr>
            <w:r>
              <w:t>(c)(</w:t>
            </w:r>
            <w:proofErr w:type="spellStart"/>
            <w:r>
              <w:t>i</w:t>
            </w:r>
            <w:proofErr w:type="spellEnd"/>
            <w:r>
              <w:t xml:space="preserve">) Which stalagmites and stalactites, those on the left or those on the right, will touch each other first if they continue growing at the same rate as currently? </w:t>
            </w:r>
          </w:p>
          <w:p w14:paraId="600185D2" w14:textId="77777777" w:rsidR="0085722A" w:rsidRDefault="0085722A" w:rsidP="0085722A">
            <w:pPr>
              <w:jc w:val="center"/>
            </w:pPr>
          </w:p>
          <w:p w14:paraId="4EEFBEA7" w14:textId="363B2F46" w:rsidR="00123199" w:rsidRDefault="0085722A" w:rsidP="0085722A">
            <w:pPr>
              <w:jc w:val="center"/>
            </w:pPr>
            <w:r>
              <w:t xml:space="preserve">(ii) </w:t>
            </w:r>
            <w:r>
              <w:t>How many years longer will it take the second set to touch each other?</w:t>
            </w:r>
          </w:p>
          <w:p w14:paraId="410B910C" w14:textId="77777777" w:rsidR="0085722A" w:rsidRDefault="0085722A" w:rsidP="0085722A"/>
          <w:p w14:paraId="670FDE7E" w14:textId="77777777" w:rsidR="0085722A" w:rsidRDefault="0085722A" w:rsidP="0085722A">
            <w:r>
              <w:t xml:space="preserve">Extension (if you get ahead with the above questions) </w:t>
            </w:r>
          </w:p>
          <w:p w14:paraId="70249191" w14:textId="77777777" w:rsidR="0085722A" w:rsidRDefault="0085722A" w:rsidP="0085722A"/>
          <w:p w14:paraId="5695D23B" w14:textId="77777777" w:rsidR="0085722A" w:rsidRDefault="0085722A" w:rsidP="0085722A">
            <w:r>
              <w:t>(d)(</w:t>
            </w:r>
            <w:proofErr w:type="spellStart"/>
            <w:r>
              <w:t>i</w:t>
            </w:r>
            <w:proofErr w:type="spellEnd"/>
            <w:r>
              <w:t xml:space="preserve">) Which of the two </w:t>
            </w:r>
            <w:proofErr w:type="spellStart"/>
            <w:r>
              <w:t>stalaCtites</w:t>
            </w:r>
            <w:proofErr w:type="spellEnd"/>
            <w:r>
              <w:t xml:space="preserve"> in the picture is the oldest? </w:t>
            </w:r>
          </w:p>
          <w:p w14:paraId="6F35663F" w14:textId="77777777" w:rsidR="0085722A" w:rsidRDefault="0085722A" w:rsidP="0085722A"/>
          <w:p w14:paraId="1CD11758" w14:textId="30A01EAC" w:rsidR="0085722A" w:rsidRDefault="0085722A" w:rsidP="0085722A">
            <w:r>
              <w:t xml:space="preserve">(ii) </w:t>
            </w:r>
            <w:r>
              <w:t xml:space="preserve">How many years will it take for the two </w:t>
            </w:r>
            <w:proofErr w:type="spellStart"/>
            <w:r>
              <w:t>stalaGmites</w:t>
            </w:r>
            <w:proofErr w:type="spellEnd"/>
            <w:r>
              <w:t xml:space="preserve"> to reach the same height? What will their height, at this point, be? </w:t>
            </w:r>
          </w:p>
          <w:p w14:paraId="40FE41E1" w14:textId="77777777" w:rsidR="0085722A" w:rsidRDefault="0085722A" w:rsidP="0085722A"/>
          <w:p w14:paraId="78C1FB34" w14:textId="44CEE4AA" w:rsidR="0085722A" w:rsidRDefault="0085722A" w:rsidP="0085722A">
            <w:pPr>
              <w:pStyle w:val="ListParagraph"/>
              <w:numPr>
                <w:ilvl w:val="0"/>
                <w:numId w:val="11"/>
              </w:numPr>
            </w:pPr>
            <w:r>
              <w:t xml:space="preserve">Will this happen before their vertical growth is blocked by the </w:t>
            </w:r>
            <w:proofErr w:type="spellStart"/>
            <w:r>
              <w:t>stalaCtites</w:t>
            </w:r>
            <w:proofErr w:type="spellEnd"/>
            <w:r>
              <w:t xml:space="preserve"> above them?</w:t>
            </w:r>
          </w:p>
          <w:p w14:paraId="4A03CB73" w14:textId="77777777" w:rsidR="0085722A" w:rsidRDefault="0085722A" w:rsidP="0085722A">
            <w:pPr>
              <w:pStyle w:val="ListParagraph"/>
              <w:ind w:left="768"/>
            </w:pPr>
          </w:p>
          <w:p w14:paraId="62EBF3C5" w14:textId="17671504" w:rsidR="0085722A" w:rsidRPr="0085722A" w:rsidRDefault="0085722A" w:rsidP="0085722A">
            <w:pPr>
              <w:pStyle w:val="ListParagraph"/>
              <w:ind w:left="768"/>
            </w:pPr>
          </w:p>
        </w:tc>
        <w:tc>
          <w:tcPr>
            <w:tcW w:w="668" w:type="pct"/>
          </w:tcPr>
          <w:p w14:paraId="6C252BE5" w14:textId="01BF078C" w:rsidR="0085722A" w:rsidRDefault="0085722A" w:rsidP="0036141B">
            <w:pPr>
              <w:jc w:val="center"/>
              <w:rPr>
                <w:rFonts w:cstheme="minorHAnsi"/>
              </w:rPr>
            </w:pPr>
          </w:p>
          <w:p w14:paraId="49375805" w14:textId="64F38C20" w:rsidR="0085722A" w:rsidRPr="0085722A" w:rsidRDefault="0085722A" w:rsidP="0085722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E538911" wp14:editId="15BE46D1">
                  <wp:extent cx="1917845" cy="2514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873" cy="2526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9F088" w14:textId="6B388165" w:rsidR="0085722A" w:rsidRDefault="0085722A" w:rsidP="0085722A">
            <w:pPr>
              <w:rPr>
                <w:rFonts w:cstheme="minorHAnsi"/>
              </w:rPr>
            </w:pPr>
          </w:p>
          <w:p w14:paraId="71C8E7C4" w14:textId="05108B8C" w:rsidR="0085722A" w:rsidRDefault="0085722A" w:rsidP="0085722A">
            <w:pPr>
              <w:rPr>
                <w:rFonts w:cstheme="minorHAnsi"/>
              </w:rPr>
            </w:pPr>
          </w:p>
          <w:p w14:paraId="66C630EE" w14:textId="0A804B5D" w:rsidR="0085722A" w:rsidRDefault="0085722A" w:rsidP="0085722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6D7F597" wp14:editId="55F594A5">
                  <wp:extent cx="2294343" cy="1270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419" cy="12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47E27" w14:textId="3237B270" w:rsidR="00123199" w:rsidRPr="0085722A" w:rsidRDefault="0085722A" w:rsidP="0085722A">
            <w:pPr>
              <w:tabs>
                <w:tab w:val="left" w:pos="1053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879" w:type="pct"/>
          </w:tcPr>
          <w:p w14:paraId="1E3C2196" w14:textId="65871B2E" w:rsidR="0036141B" w:rsidRPr="006444F4" w:rsidRDefault="0036141B" w:rsidP="0036141B">
            <w:pPr>
              <w:jc w:val="center"/>
              <w:rPr>
                <w:rFonts w:cstheme="minorHAnsi"/>
              </w:rPr>
            </w:pPr>
          </w:p>
        </w:tc>
      </w:tr>
    </w:tbl>
    <w:p w14:paraId="79D884CF" w14:textId="77777777" w:rsidR="00123199" w:rsidRDefault="00123199">
      <w:r>
        <w:br w:type="page"/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55"/>
        <w:gridCol w:w="2112"/>
        <w:gridCol w:w="2270"/>
        <w:gridCol w:w="2496"/>
        <w:gridCol w:w="2596"/>
        <w:gridCol w:w="1959"/>
        <w:gridCol w:w="2578"/>
      </w:tblGrid>
      <w:tr w:rsidR="003E03EE" w:rsidRPr="002F7AA4" w14:paraId="5D26DC16" w14:textId="12B09E0B" w:rsidTr="009D5F07">
        <w:trPr>
          <w:cantSplit/>
          <w:trHeight w:val="1405"/>
        </w:trPr>
        <w:tc>
          <w:tcPr>
            <w:tcW w:w="223" w:type="pct"/>
            <w:textDirection w:val="btLr"/>
            <w:vAlign w:val="center"/>
          </w:tcPr>
          <w:p w14:paraId="62F27318" w14:textId="2FB2CFBE" w:rsidR="003E03EE" w:rsidRPr="002F7AA4" w:rsidRDefault="003E03EE" w:rsidP="003E0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20" w:type="pct"/>
          </w:tcPr>
          <w:p w14:paraId="5997CC1D" w14:textId="4BC7ED6B" w:rsidR="003E03EE" w:rsidRPr="00E364F5" w:rsidRDefault="0085722A" w:rsidP="003E03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reviewing for paper 1 and paper 2 for the IB Math Exam. </w:t>
            </w:r>
          </w:p>
        </w:tc>
        <w:tc>
          <w:tcPr>
            <w:tcW w:w="774" w:type="pct"/>
          </w:tcPr>
          <w:p w14:paraId="2AF52BE9" w14:textId="11F675E6" w:rsidR="003E03EE" w:rsidRPr="001D7A7E" w:rsidRDefault="0085722A" w:rsidP="003E03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show what I know for paper 1 and paper 2 for the IB Math Exam.</w:t>
            </w:r>
          </w:p>
        </w:tc>
        <w:tc>
          <w:tcPr>
            <w:tcW w:w="851" w:type="pct"/>
          </w:tcPr>
          <w:p w14:paraId="2DA73438" w14:textId="77777777" w:rsidR="00123199" w:rsidRDefault="0085722A" w:rsidP="0085722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Pass Out </w:t>
            </w:r>
          </w:p>
          <w:p w14:paraId="2CC33E9F" w14:textId="77777777" w:rsidR="0085722A" w:rsidRDefault="0085722A" w:rsidP="008572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Practice Exam </w:t>
            </w:r>
          </w:p>
          <w:p w14:paraId="18696769" w14:textId="77777777" w:rsidR="0085722A" w:rsidRDefault="0085722A" w:rsidP="008572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Command Words</w:t>
            </w:r>
          </w:p>
          <w:p w14:paraId="110FFD37" w14:textId="64045C5F" w:rsidR="0085722A" w:rsidRPr="0085722A" w:rsidRDefault="0085722A" w:rsidP="008572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Formula Packet</w:t>
            </w:r>
          </w:p>
        </w:tc>
        <w:tc>
          <w:tcPr>
            <w:tcW w:w="885" w:type="pct"/>
          </w:tcPr>
          <w:p w14:paraId="6B699379" w14:textId="0B6BE4E9" w:rsidR="0085722A" w:rsidRPr="00597692" w:rsidRDefault="0085722A" w:rsidP="003E03EE">
            <w:r>
              <w:t xml:space="preserve">Students will be going through their practice exam highlighting command word in questions and put what is required for each question and looking through their formula packet and writing down </w:t>
            </w:r>
            <w:r w:rsidR="00A57215">
              <w:t xml:space="preserve">any formulas they can find in their packet for each question. </w:t>
            </w:r>
          </w:p>
        </w:tc>
        <w:tc>
          <w:tcPr>
            <w:tcW w:w="668" w:type="pct"/>
          </w:tcPr>
          <w:p w14:paraId="725D0FE8" w14:textId="77777777" w:rsidR="00123199" w:rsidRDefault="00A57215" w:rsidP="003E03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 will be using the practice exam all week next week and reviewing for the exam. </w:t>
            </w:r>
          </w:p>
          <w:p w14:paraId="414B3217" w14:textId="77777777" w:rsidR="00A57215" w:rsidRDefault="00A57215" w:rsidP="003E03EE">
            <w:pPr>
              <w:jc w:val="center"/>
              <w:rPr>
                <w:rFonts w:cstheme="minorHAnsi"/>
              </w:rPr>
            </w:pPr>
          </w:p>
          <w:p w14:paraId="3FE9F23F" w14:textId="7517513B" w:rsidR="00A57215" w:rsidRPr="00597692" w:rsidRDefault="00A57215" w:rsidP="00A57215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879" w:type="pct"/>
          </w:tcPr>
          <w:p w14:paraId="1CABC59E" w14:textId="31CA1D3A" w:rsidR="003E03EE" w:rsidRPr="00597692" w:rsidRDefault="003E03EE" w:rsidP="003E03EE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B200" w14:textId="77777777" w:rsidR="00B37CCA" w:rsidRDefault="00B37CCA">
      <w:pPr>
        <w:spacing w:after="0" w:line="240" w:lineRule="auto"/>
      </w:pPr>
      <w:r>
        <w:separator/>
      </w:r>
    </w:p>
  </w:endnote>
  <w:endnote w:type="continuationSeparator" w:id="0">
    <w:p w14:paraId="64B5BFDF" w14:textId="77777777" w:rsidR="00B37CCA" w:rsidRDefault="00B37CCA">
      <w:pPr>
        <w:spacing w:after="0" w:line="240" w:lineRule="auto"/>
      </w:pPr>
      <w:r>
        <w:continuationSeparator/>
      </w:r>
    </w:p>
  </w:endnote>
  <w:endnote w:type="continuationNotice" w:id="1">
    <w:p w14:paraId="1C25F839" w14:textId="77777777" w:rsidR="00B37CCA" w:rsidRDefault="00B37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5E2C3" w14:textId="77777777" w:rsidR="00B37CCA" w:rsidRDefault="00B37CCA">
      <w:pPr>
        <w:spacing w:after="0" w:line="240" w:lineRule="auto"/>
      </w:pPr>
      <w:r>
        <w:separator/>
      </w:r>
    </w:p>
  </w:footnote>
  <w:footnote w:type="continuationSeparator" w:id="0">
    <w:p w14:paraId="29127C4D" w14:textId="77777777" w:rsidR="00B37CCA" w:rsidRDefault="00B37CCA">
      <w:pPr>
        <w:spacing w:after="0" w:line="240" w:lineRule="auto"/>
      </w:pPr>
      <w:r>
        <w:continuationSeparator/>
      </w:r>
    </w:p>
  </w:footnote>
  <w:footnote w:type="continuationNotice" w:id="1">
    <w:p w14:paraId="796AA002" w14:textId="77777777" w:rsidR="00B37CCA" w:rsidRDefault="00B37C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9D16E63"/>
    <w:multiLevelType w:val="hybridMultilevel"/>
    <w:tmpl w:val="48DA203A"/>
    <w:lvl w:ilvl="0" w:tplc="5FFE0F74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0DE8"/>
    <w:multiLevelType w:val="hybridMultilevel"/>
    <w:tmpl w:val="083653F0"/>
    <w:lvl w:ilvl="0" w:tplc="04B4F0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A133C"/>
    <w:multiLevelType w:val="hybridMultilevel"/>
    <w:tmpl w:val="7694A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23199"/>
    <w:rsid w:val="00130CEC"/>
    <w:rsid w:val="00132FF7"/>
    <w:rsid w:val="0014688A"/>
    <w:rsid w:val="001675AF"/>
    <w:rsid w:val="00175AF6"/>
    <w:rsid w:val="00181218"/>
    <w:rsid w:val="00181304"/>
    <w:rsid w:val="00181A75"/>
    <w:rsid w:val="00187F74"/>
    <w:rsid w:val="00197161"/>
    <w:rsid w:val="00197C37"/>
    <w:rsid w:val="001B1739"/>
    <w:rsid w:val="001B59C5"/>
    <w:rsid w:val="001D294A"/>
    <w:rsid w:val="001D3AE2"/>
    <w:rsid w:val="001D65FD"/>
    <w:rsid w:val="001D7A7E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131"/>
    <w:rsid w:val="00313DFB"/>
    <w:rsid w:val="00332468"/>
    <w:rsid w:val="00340B45"/>
    <w:rsid w:val="00341BDD"/>
    <w:rsid w:val="0036141B"/>
    <w:rsid w:val="00366B1B"/>
    <w:rsid w:val="0037292F"/>
    <w:rsid w:val="003802A6"/>
    <w:rsid w:val="00387B03"/>
    <w:rsid w:val="00392709"/>
    <w:rsid w:val="00393575"/>
    <w:rsid w:val="003A7332"/>
    <w:rsid w:val="003C3B0A"/>
    <w:rsid w:val="003C3D9D"/>
    <w:rsid w:val="003D1B06"/>
    <w:rsid w:val="003E03EE"/>
    <w:rsid w:val="003E4EBB"/>
    <w:rsid w:val="003F5B74"/>
    <w:rsid w:val="0040477A"/>
    <w:rsid w:val="00406274"/>
    <w:rsid w:val="00415F84"/>
    <w:rsid w:val="004332F5"/>
    <w:rsid w:val="00467DB6"/>
    <w:rsid w:val="00471415"/>
    <w:rsid w:val="00484AC6"/>
    <w:rsid w:val="00490A44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067D"/>
    <w:rsid w:val="005D30B4"/>
    <w:rsid w:val="005D773F"/>
    <w:rsid w:val="005E13DB"/>
    <w:rsid w:val="006040E7"/>
    <w:rsid w:val="0061325B"/>
    <w:rsid w:val="00621705"/>
    <w:rsid w:val="006372BD"/>
    <w:rsid w:val="006444F4"/>
    <w:rsid w:val="0065485A"/>
    <w:rsid w:val="00672480"/>
    <w:rsid w:val="00675FD3"/>
    <w:rsid w:val="00693F59"/>
    <w:rsid w:val="006A0400"/>
    <w:rsid w:val="006A4292"/>
    <w:rsid w:val="006B1E2B"/>
    <w:rsid w:val="006C21FF"/>
    <w:rsid w:val="006E2C7D"/>
    <w:rsid w:val="006F1C37"/>
    <w:rsid w:val="006F3554"/>
    <w:rsid w:val="006F3DB7"/>
    <w:rsid w:val="0071130C"/>
    <w:rsid w:val="00713F97"/>
    <w:rsid w:val="007316CC"/>
    <w:rsid w:val="00731AD7"/>
    <w:rsid w:val="007337A6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1119A"/>
    <w:rsid w:val="0082426B"/>
    <w:rsid w:val="00825C2A"/>
    <w:rsid w:val="008261B3"/>
    <w:rsid w:val="00832C90"/>
    <w:rsid w:val="00836788"/>
    <w:rsid w:val="00854267"/>
    <w:rsid w:val="0085722A"/>
    <w:rsid w:val="00863D75"/>
    <w:rsid w:val="008672C1"/>
    <w:rsid w:val="00887F3E"/>
    <w:rsid w:val="008930D0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3EF4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5F07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57215"/>
    <w:rsid w:val="00A6166E"/>
    <w:rsid w:val="00A9195D"/>
    <w:rsid w:val="00A93133"/>
    <w:rsid w:val="00AB2232"/>
    <w:rsid w:val="00AB2328"/>
    <w:rsid w:val="00AB6251"/>
    <w:rsid w:val="00AB6688"/>
    <w:rsid w:val="00AE1F4B"/>
    <w:rsid w:val="00B079F0"/>
    <w:rsid w:val="00B164D0"/>
    <w:rsid w:val="00B16536"/>
    <w:rsid w:val="00B20738"/>
    <w:rsid w:val="00B2372E"/>
    <w:rsid w:val="00B30105"/>
    <w:rsid w:val="00B32211"/>
    <w:rsid w:val="00B37CCA"/>
    <w:rsid w:val="00B40388"/>
    <w:rsid w:val="00B464E3"/>
    <w:rsid w:val="00B5320F"/>
    <w:rsid w:val="00B538A1"/>
    <w:rsid w:val="00B64D5E"/>
    <w:rsid w:val="00B7334E"/>
    <w:rsid w:val="00B76182"/>
    <w:rsid w:val="00B91D4A"/>
    <w:rsid w:val="00BE075F"/>
    <w:rsid w:val="00BE47A5"/>
    <w:rsid w:val="00BE5AE5"/>
    <w:rsid w:val="00BF0DEE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3BA2"/>
    <w:rsid w:val="00D04E6C"/>
    <w:rsid w:val="00D0778A"/>
    <w:rsid w:val="00D12BD3"/>
    <w:rsid w:val="00D16A48"/>
    <w:rsid w:val="00D36DD4"/>
    <w:rsid w:val="00D37C04"/>
    <w:rsid w:val="00D43FDB"/>
    <w:rsid w:val="00D4775D"/>
    <w:rsid w:val="00D53732"/>
    <w:rsid w:val="00D57160"/>
    <w:rsid w:val="00D8027F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2CEA"/>
    <w:rsid w:val="00E364F5"/>
    <w:rsid w:val="00E46CB7"/>
    <w:rsid w:val="00E47E1D"/>
    <w:rsid w:val="00E535E3"/>
    <w:rsid w:val="00E74822"/>
    <w:rsid w:val="00E86032"/>
    <w:rsid w:val="00E86566"/>
    <w:rsid w:val="00EC7C1A"/>
    <w:rsid w:val="00F22952"/>
    <w:rsid w:val="00F27920"/>
    <w:rsid w:val="00F3263B"/>
    <w:rsid w:val="00F33A9B"/>
    <w:rsid w:val="00F80B68"/>
    <w:rsid w:val="00F85AA9"/>
    <w:rsid w:val="00FA7C4E"/>
    <w:rsid w:val="00FB5AA8"/>
    <w:rsid w:val="00FB6E4B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F8510296-DC2E-48F5-AEE2-C9401029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6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DB6"/>
  </w:style>
  <w:style w:type="paragraph" w:styleId="Footer">
    <w:name w:val="footer"/>
    <w:basedOn w:val="Normal"/>
    <w:link w:val="FooterChar"/>
    <w:uiPriority w:val="99"/>
    <w:semiHidden/>
    <w:unhideWhenUsed/>
    <w:rsid w:val="0046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DB6"/>
  </w:style>
  <w:style w:type="character" w:customStyle="1" w:styleId="Heading1Char">
    <w:name w:val="Heading 1 Char"/>
    <w:basedOn w:val="DefaultParagraphFont"/>
    <w:link w:val="Heading1"/>
    <w:uiPriority w:val="9"/>
    <w:rsid w:val="00305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05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videoanalysis.app/?key=vA389AS8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9" ma:contentTypeDescription="Create a new document." ma:contentTypeScope="" ma:versionID="d78d19394297bc917d4dde979733f694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c8454e2639e33c83c78f11d2fee88d0d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dee93-f61f-4b2b-850f-0dfb9545d543" xsi:nil="true"/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45A2EF41-6FC3-4A97-81F7-F8FDAD7DD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c4adee93-f61f-4b2b-850f-0dfb9545d543"/>
    <ds:schemaRef ds:uri="http://schemas.microsoft.com/office/2006/metadata/properties"/>
    <ds:schemaRef ds:uri="http://schemas.microsoft.com/office/infopath/2007/PartnerControls"/>
    <ds:schemaRef ds:uri="http://purl.org/dc/dcmitype/"/>
    <ds:schemaRef ds:uri="5fd29247-f312-4473-a363-46cf4a5089a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Fredenberg, Deborah</cp:lastModifiedBy>
  <cp:revision>2</cp:revision>
  <cp:lastPrinted>2025-02-11T16:36:00Z</cp:lastPrinted>
  <dcterms:created xsi:type="dcterms:W3CDTF">2025-03-24T02:17:00Z</dcterms:created>
  <dcterms:modified xsi:type="dcterms:W3CDTF">2025-03-24T02:17:00Z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  <property fmtid="{D5CDD505-2E9C-101B-9397-08002B2CF9AE}" pid="3" name="MTWinEqns">
    <vt:bool>true</vt:bool>
  </property>
</Properties>
</file>